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511C17">
        <w:trPr>
          <w:trHeight w:val="340"/>
        </w:trPr>
        <w:tc>
          <w:tcPr>
            <w:tcW w:w="2518" w:type="dxa"/>
            <w:shd w:val="clear" w:color="auto" w:fill="661C33"/>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9F9F9"/>
            <w:vAlign w:val="center"/>
          </w:tcPr>
          <w:p w14:paraId="6875F3BB" w14:textId="50683595" w:rsidR="00B53A27" w:rsidRPr="00936D55" w:rsidRDefault="00D66D5C" w:rsidP="00B53A27">
            <w:pPr>
              <w:spacing w:after="0" w:line="276" w:lineRule="auto"/>
              <w:rPr>
                <w:rFonts w:asciiTheme="minorHAnsi" w:hAnsiTheme="minorHAnsi" w:cstheme="minorHAnsi"/>
              </w:rPr>
            </w:pPr>
            <w:r w:rsidRPr="00D66D5C">
              <w:rPr>
                <w:rFonts w:asciiTheme="minorHAnsi" w:hAnsiTheme="minorHAnsi" w:cstheme="minorHAnsi"/>
              </w:rPr>
              <w:t>Acciones para el desarrollo pecuario</w:t>
            </w:r>
          </w:p>
        </w:tc>
      </w:tr>
      <w:tr w:rsidR="00B53A27" w:rsidRPr="00936D55" w14:paraId="77CED2D0" w14:textId="77777777" w:rsidTr="00511C17">
        <w:trPr>
          <w:trHeight w:val="340"/>
        </w:trPr>
        <w:tc>
          <w:tcPr>
            <w:tcW w:w="2518" w:type="dxa"/>
            <w:shd w:val="clear" w:color="auto" w:fill="661C33"/>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9F9F9"/>
            <w:vAlign w:val="center"/>
          </w:tcPr>
          <w:p w14:paraId="5527ED7E" w14:textId="1312B4AA" w:rsidR="00B53A27" w:rsidRPr="00936D55" w:rsidRDefault="00D66D5C" w:rsidP="00B53A27">
            <w:pPr>
              <w:spacing w:after="0" w:line="276" w:lineRule="auto"/>
              <w:rPr>
                <w:rFonts w:asciiTheme="minorHAnsi" w:hAnsiTheme="minorHAnsi" w:cstheme="minorHAnsi"/>
              </w:rPr>
            </w:pPr>
            <w:r w:rsidRPr="00D66D5C">
              <w:rPr>
                <w:rFonts w:asciiTheme="minorHAnsi" w:hAnsiTheme="minorHAnsi" w:cstheme="minorHAnsi"/>
              </w:rPr>
              <w:t>Secretaría de Agricultura y Ganadería</w:t>
            </w:r>
          </w:p>
        </w:tc>
      </w:tr>
      <w:tr w:rsidR="00B53A27" w:rsidRPr="00936D55" w14:paraId="0D97458B" w14:textId="77777777" w:rsidTr="00511C17">
        <w:trPr>
          <w:trHeight w:val="340"/>
        </w:trPr>
        <w:tc>
          <w:tcPr>
            <w:tcW w:w="2518" w:type="dxa"/>
            <w:shd w:val="clear" w:color="auto" w:fill="661C33"/>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9F9F9"/>
            <w:vAlign w:val="center"/>
          </w:tcPr>
          <w:p w14:paraId="75BA77EA" w14:textId="3E252D29" w:rsidR="00B53A27" w:rsidRPr="00936D55" w:rsidRDefault="00D66D5C" w:rsidP="00B53A27">
            <w:pPr>
              <w:spacing w:after="0" w:line="276" w:lineRule="auto"/>
              <w:rPr>
                <w:rFonts w:asciiTheme="minorHAnsi" w:hAnsiTheme="minorHAnsi" w:cstheme="minorHAnsi"/>
              </w:rPr>
            </w:pPr>
            <w:r w:rsidRPr="00D66D5C">
              <w:rPr>
                <w:rFonts w:asciiTheme="minorHAnsi" w:hAnsiTheme="minorHAnsi" w:cstheme="minorHAnsi"/>
              </w:rPr>
              <w:t>Subsecretaría de Ganadería</w:t>
            </w:r>
          </w:p>
        </w:tc>
      </w:tr>
      <w:tr w:rsidR="00B53A27" w:rsidRPr="00936D55" w14:paraId="5D32DA8A" w14:textId="77777777" w:rsidTr="00511C17">
        <w:trPr>
          <w:trHeight w:val="340"/>
        </w:trPr>
        <w:tc>
          <w:tcPr>
            <w:tcW w:w="2518" w:type="dxa"/>
            <w:shd w:val="clear" w:color="auto" w:fill="661C33"/>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9F9F9"/>
            <w:vAlign w:val="center"/>
          </w:tcPr>
          <w:p w14:paraId="48B830BF" w14:textId="71CAF54B" w:rsidR="00B53A27" w:rsidRPr="00936D55" w:rsidRDefault="00D66D5C" w:rsidP="00B53A27">
            <w:pPr>
              <w:spacing w:after="0" w:line="276" w:lineRule="auto"/>
              <w:rPr>
                <w:rFonts w:asciiTheme="minorHAnsi" w:hAnsiTheme="minorHAnsi" w:cstheme="minorHAnsi"/>
              </w:rPr>
            </w:pPr>
            <w:r>
              <w:t>Desempeño</w:t>
            </w:r>
          </w:p>
        </w:tc>
      </w:tr>
      <w:tr w:rsidR="00B53A27" w:rsidRPr="00936D55" w14:paraId="5AC1B1FE" w14:textId="77777777" w:rsidTr="00511C17">
        <w:trPr>
          <w:trHeight w:val="340"/>
        </w:trPr>
        <w:tc>
          <w:tcPr>
            <w:tcW w:w="2518" w:type="dxa"/>
            <w:shd w:val="clear" w:color="auto" w:fill="661C33"/>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9F9F9"/>
            <w:vAlign w:val="center"/>
          </w:tcPr>
          <w:p w14:paraId="4F5A6AD8" w14:textId="4E4275D4" w:rsidR="00B53A27" w:rsidRPr="00936D55" w:rsidRDefault="00D66D5C" w:rsidP="00B53A27">
            <w:pPr>
              <w:spacing w:after="0" w:line="276" w:lineRule="auto"/>
              <w:rPr>
                <w:rFonts w:asciiTheme="minorHAnsi" w:hAnsiTheme="minorHAnsi" w:cstheme="minorHAnsi"/>
              </w:rPr>
            </w:pPr>
            <w:r>
              <w:rPr>
                <w:rFonts w:asciiTheme="minorHAnsi" w:hAnsiTheme="minorHAnsi" w:cstheme="minorHAnsi"/>
              </w:rPr>
              <w:t>2025</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511C17">
        <w:trPr>
          <w:trHeight w:val="340"/>
        </w:trPr>
        <w:tc>
          <w:tcPr>
            <w:tcW w:w="9355" w:type="dxa"/>
            <w:shd w:val="clear" w:color="auto" w:fill="661C33"/>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6"/>
        <w:gridCol w:w="2753"/>
        <w:gridCol w:w="2303"/>
      </w:tblGrid>
      <w:tr w:rsidR="00BD0258" w:rsidRPr="00BD0258" w14:paraId="144EB42F" w14:textId="77777777" w:rsidTr="00D66D5C">
        <w:trPr>
          <w:trHeight w:val="886"/>
          <w:tblHeader/>
        </w:trPr>
        <w:tc>
          <w:tcPr>
            <w:tcW w:w="1942" w:type="dxa"/>
            <w:shd w:val="clear" w:color="auto" w:fill="661C33"/>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6" w:type="dxa"/>
            <w:shd w:val="clear" w:color="auto" w:fill="661C33"/>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3" w:type="dxa"/>
            <w:shd w:val="clear" w:color="auto" w:fill="661C33"/>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661C33"/>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D66D5C" w:rsidRPr="00936D55" w14:paraId="3F02C46D" w14:textId="77777777" w:rsidTr="008961CD">
        <w:tc>
          <w:tcPr>
            <w:tcW w:w="1942" w:type="dxa"/>
            <w:vAlign w:val="center"/>
          </w:tcPr>
          <w:p w14:paraId="70425297" w14:textId="27D32131" w:rsidR="00D66D5C" w:rsidRPr="00936D55" w:rsidRDefault="00D66D5C" w:rsidP="00D66D5C">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D66D5C" w:rsidRPr="00D02A3D" w:rsidRDefault="00D66D5C" w:rsidP="00D66D5C">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6" w:type="dxa"/>
            <w:vAlign w:val="center"/>
          </w:tcPr>
          <w:p w14:paraId="36CFBCCD" w14:textId="0019C772" w:rsidR="00D66D5C" w:rsidRPr="00D66D5C" w:rsidRDefault="00D66D5C" w:rsidP="00D66D5C">
            <w:pPr>
              <w:spacing w:after="0" w:line="240" w:lineRule="auto"/>
              <w:jc w:val="both"/>
              <w:rPr>
                <w:rFonts w:asciiTheme="minorHAnsi" w:hAnsiTheme="minorHAnsi" w:cstheme="minorHAnsi"/>
                <w:sz w:val="20"/>
                <w:szCs w:val="20"/>
              </w:rPr>
            </w:pPr>
            <w:r w:rsidRPr="00D66D5C">
              <w:rPr>
                <w:rFonts w:asciiTheme="minorHAnsi" w:hAnsiTheme="minorHAnsi" w:cstheme="minorHAnsi"/>
                <w:sz w:val="20"/>
                <w:szCs w:val="20"/>
              </w:rPr>
              <w:t>Subestimación recurrente de metas en el indicador de cobertura, lo cual se evidencia en el hecho de que en varios ejercicios fiscales la población atendida ha superado ampliamente la meta programada. Esto sugiere la necesidad de fortalecer los procesos de planeación y estimación de metas</w:t>
            </w:r>
          </w:p>
        </w:tc>
        <w:tc>
          <w:tcPr>
            <w:tcW w:w="2753" w:type="dxa"/>
            <w:vAlign w:val="center"/>
          </w:tcPr>
          <w:p w14:paraId="5A8AE607" w14:textId="512589B9" w:rsidR="00D66D5C" w:rsidRPr="00D66D5C" w:rsidRDefault="007846B1" w:rsidP="00D66D5C">
            <w:pPr>
              <w:spacing w:after="0" w:line="240" w:lineRule="auto"/>
              <w:jc w:val="both"/>
              <w:rPr>
                <w:rFonts w:asciiTheme="minorHAnsi" w:hAnsiTheme="minorHAnsi" w:cstheme="minorHAnsi"/>
                <w:sz w:val="20"/>
                <w:szCs w:val="20"/>
              </w:rPr>
            </w:pPr>
            <w:r w:rsidRPr="007846B1">
              <w:rPr>
                <w:rFonts w:asciiTheme="minorHAnsi" w:hAnsiTheme="minorHAnsi" w:cstheme="minorHAnsi"/>
                <w:sz w:val="20"/>
                <w:szCs w:val="20"/>
              </w:rPr>
              <w:t>La dependencia reconoce que las metas del indicador de cobertura han sido superadas de manera consistente, lo cual refleja una alta demanda del programa y una capacidad operativa mayor a la prevista. Se considera pertinente fortalecer la metodología de planeación para mejorar la precisión en la definición de metas.</w:t>
            </w:r>
          </w:p>
        </w:tc>
        <w:tc>
          <w:tcPr>
            <w:tcW w:w="2303" w:type="dxa"/>
            <w:vAlign w:val="center"/>
          </w:tcPr>
          <w:p w14:paraId="1DA7876B" w14:textId="2FEEEA15" w:rsidR="00D66D5C" w:rsidRPr="00D66D5C" w:rsidRDefault="00D66D5C" w:rsidP="00D66D5C">
            <w:pPr>
              <w:spacing w:after="0" w:line="240" w:lineRule="auto"/>
              <w:jc w:val="both"/>
              <w:rPr>
                <w:rFonts w:asciiTheme="minorHAnsi" w:hAnsiTheme="minorHAnsi" w:cstheme="minorHAnsi"/>
                <w:sz w:val="20"/>
                <w:szCs w:val="20"/>
              </w:rPr>
            </w:pPr>
            <w:r w:rsidRPr="00D66D5C">
              <w:rPr>
                <w:rFonts w:asciiTheme="minorHAnsi" w:hAnsiTheme="minorHAnsi" w:cstheme="minorHAnsi"/>
                <w:sz w:val="20"/>
                <w:szCs w:val="20"/>
              </w:rPr>
              <w:t>Perfeccionar la planeación de metas del programa, utilizando información histórica de demanda y capacidad operativa para establecer metas más realistas y retadoras, especialmente en el indicador de cobertura.</w:t>
            </w:r>
          </w:p>
        </w:tc>
      </w:tr>
      <w:tr w:rsidR="00D66D5C" w:rsidRPr="00936D55" w14:paraId="4D3DAD0C" w14:textId="77777777" w:rsidTr="008961CD">
        <w:tc>
          <w:tcPr>
            <w:tcW w:w="1942" w:type="dxa"/>
            <w:vAlign w:val="center"/>
          </w:tcPr>
          <w:p w14:paraId="6EBB4888" w14:textId="77777777" w:rsidR="00D66D5C" w:rsidRPr="00936D55" w:rsidRDefault="00D66D5C" w:rsidP="00D66D5C">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D66D5C" w:rsidRPr="00D02A3D" w:rsidRDefault="00D66D5C" w:rsidP="00D66D5C">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6" w:type="dxa"/>
            <w:vAlign w:val="center"/>
          </w:tcPr>
          <w:p w14:paraId="07DCA505" w14:textId="6A916C7A" w:rsidR="00D66D5C" w:rsidRPr="00D66D5C" w:rsidRDefault="00D66D5C" w:rsidP="00D66D5C">
            <w:pPr>
              <w:spacing w:after="0" w:line="240" w:lineRule="auto"/>
              <w:jc w:val="both"/>
              <w:rPr>
                <w:rFonts w:asciiTheme="minorHAnsi" w:hAnsiTheme="minorHAnsi" w:cstheme="minorHAnsi"/>
                <w:sz w:val="20"/>
                <w:szCs w:val="20"/>
              </w:rPr>
            </w:pPr>
            <w:r w:rsidRPr="00D66D5C">
              <w:rPr>
                <w:rFonts w:asciiTheme="minorHAnsi" w:hAnsiTheme="minorHAnsi" w:cstheme="minorHAnsi"/>
                <w:sz w:val="20"/>
                <w:szCs w:val="20"/>
              </w:rPr>
              <w:t>Fortalecer la medición de resultados económicos del programa, incorporando indicadores que permitan evaluar el efecto de los apoyos en variables como productividad, ingreso de los productores o rentabilidad de las unidades de producción. Esto permitiría avanzar de una medición centrada en entrega de productos hacia una medición más robusta de resultados e impactos</w:t>
            </w:r>
          </w:p>
        </w:tc>
        <w:tc>
          <w:tcPr>
            <w:tcW w:w="2753" w:type="dxa"/>
            <w:vAlign w:val="center"/>
          </w:tcPr>
          <w:p w14:paraId="36B3706E" w14:textId="6F80E79E" w:rsidR="00D66D5C" w:rsidRPr="00D66D5C" w:rsidRDefault="007846B1" w:rsidP="00D66D5C">
            <w:pPr>
              <w:spacing w:after="0" w:line="240" w:lineRule="auto"/>
              <w:jc w:val="both"/>
              <w:rPr>
                <w:rFonts w:asciiTheme="minorHAnsi" w:hAnsiTheme="minorHAnsi" w:cstheme="minorHAnsi"/>
                <w:sz w:val="20"/>
                <w:szCs w:val="20"/>
              </w:rPr>
            </w:pPr>
            <w:r w:rsidRPr="007846B1">
              <w:rPr>
                <w:rFonts w:asciiTheme="minorHAnsi" w:hAnsiTheme="minorHAnsi" w:cstheme="minorHAnsi"/>
                <w:sz w:val="20"/>
                <w:szCs w:val="20"/>
              </w:rPr>
              <w:t>La dependencia considera relevante avanzar hacia una medición más integral del desempeño del programa, complementando los indicadores de productos con indicadores orientados a resultados económicos que permitan evaluar el impacto en los beneficiarios.</w:t>
            </w:r>
          </w:p>
        </w:tc>
        <w:tc>
          <w:tcPr>
            <w:tcW w:w="2303" w:type="dxa"/>
            <w:vAlign w:val="center"/>
          </w:tcPr>
          <w:p w14:paraId="1CED0DF8" w14:textId="7B96EA50" w:rsidR="00D66D5C" w:rsidRPr="00D66D5C" w:rsidRDefault="00D66D5C" w:rsidP="00D66D5C">
            <w:pPr>
              <w:spacing w:after="0" w:line="240" w:lineRule="auto"/>
              <w:jc w:val="both"/>
              <w:rPr>
                <w:rFonts w:asciiTheme="minorHAnsi" w:hAnsiTheme="minorHAnsi" w:cstheme="minorHAnsi"/>
                <w:sz w:val="20"/>
                <w:szCs w:val="20"/>
              </w:rPr>
            </w:pPr>
            <w:r w:rsidRPr="00D66D5C">
              <w:rPr>
                <w:rFonts w:asciiTheme="minorHAnsi" w:hAnsiTheme="minorHAnsi" w:cstheme="minorHAnsi"/>
                <w:sz w:val="20"/>
                <w:szCs w:val="20"/>
              </w:rPr>
              <w:t>Desarrollar indicadores que permitan medir con mayor precisión los resultados productivos y económicos derivados de los apoyos otorgados.</w:t>
            </w:r>
          </w:p>
        </w:tc>
      </w:tr>
      <w:tr w:rsidR="00D66D5C" w:rsidRPr="00936D55" w14:paraId="6202F808" w14:textId="77777777" w:rsidTr="008961CD">
        <w:tc>
          <w:tcPr>
            <w:tcW w:w="1942" w:type="dxa"/>
            <w:vAlign w:val="center"/>
          </w:tcPr>
          <w:p w14:paraId="2FCCAB4C" w14:textId="77777777" w:rsidR="00D66D5C" w:rsidRPr="00936D55" w:rsidRDefault="00D66D5C" w:rsidP="00D66D5C">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D66D5C" w:rsidRPr="00D02A3D" w:rsidRDefault="00D66D5C" w:rsidP="00D66D5C">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26" w:type="dxa"/>
            <w:vAlign w:val="center"/>
          </w:tcPr>
          <w:p w14:paraId="4C3DA5D5" w14:textId="10DB284C" w:rsidR="00D66D5C" w:rsidRPr="00D66D5C" w:rsidRDefault="00D31847" w:rsidP="00D66D5C">
            <w:pPr>
              <w:spacing w:after="0" w:line="240" w:lineRule="auto"/>
              <w:jc w:val="both"/>
              <w:rPr>
                <w:rFonts w:asciiTheme="minorHAnsi" w:hAnsiTheme="minorHAnsi" w:cstheme="minorHAnsi"/>
                <w:sz w:val="20"/>
                <w:szCs w:val="20"/>
              </w:rPr>
            </w:pPr>
            <w:r>
              <w:rPr>
                <w:rFonts w:asciiTheme="minorHAnsi" w:hAnsiTheme="minorHAnsi" w:cstheme="minorHAnsi"/>
                <w:sz w:val="20"/>
                <w:szCs w:val="20"/>
              </w:rPr>
              <w:t>F</w:t>
            </w:r>
            <w:r w:rsidR="00D66D5C" w:rsidRPr="00D66D5C">
              <w:rPr>
                <w:rFonts w:asciiTheme="minorHAnsi" w:hAnsiTheme="minorHAnsi" w:cstheme="minorHAnsi"/>
                <w:sz w:val="20"/>
                <w:szCs w:val="20"/>
              </w:rPr>
              <w:t xml:space="preserve">ortalecer los sistemas de información del programa mediante la </w:t>
            </w:r>
            <w:r w:rsidR="00D66D5C" w:rsidRPr="00D66D5C">
              <w:rPr>
                <w:rFonts w:asciiTheme="minorHAnsi" w:hAnsiTheme="minorHAnsi" w:cstheme="minorHAnsi"/>
                <w:sz w:val="20"/>
                <w:szCs w:val="20"/>
              </w:rPr>
              <w:lastRenderedPageBreak/>
              <w:t>generación de bases de datos más completas de beneficiarios y el desarrollo de indicadores que permitan medir con mayor precisión los resultados productivos y económicos derivados de los apoyos otorgados</w:t>
            </w:r>
          </w:p>
        </w:tc>
        <w:tc>
          <w:tcPr>
            <w:tcW w:w="2753" w:type="dxa"/>
            <w:vAlign w:val="center"/>
          </w:tcPr>
          <w:p w14:paraId="740FC487" w14:textId="47D7C567" w:rsidR="00D66D5C" w:rsidRPr="00D66D5C" w:rsidRDefault="007846B1" w:rsidP="00D66D5C">
            <w:pPr>
              <w:spacing w:after="0" w:line="240" w:lineRule="auto"/>
              <w:jc w:val="both"/>
              <w:rPr>
                <w:rFonts w:asciiTheme="minorHAnsi" w:hAnsiTheme="minorHAnsi" w:cstheme="minorHAnsi"/>
                <w:sz w:val="20"/>
                <w:szCs w:val="20"/>
              </w:rPr>
            </w:pPr>
            <w:r w:rsidRPr="007846B1">
              <w:rPr>
                <w:rFonts w:asciiTheme="minorHAnsi" w:hAnsiTheme="minorHAnsi" w:cstheme="minorHAnsi"/>
                <w:sz w:val="20"/>
                <w:szCs w:val="20"/>
              </w:rPr>
              <w:lastRenderedPageBreak/>
              <w:t xml:space="preserve">La dependencia reconoce la importancia de contar con sistemas de información más </w:t>
            </w:r>
            <w:r w:rsidRPr="007846B1">
              <w:rPr>
                <w:rFonts w:asciiTheme="minorHAnsi" w:hAnsiTheme="minorHAnsi" w:cstheme="minorHAnsi"/>
                <w:sz w:val="20"/>
                <w:szCs w:val="20"/>
              </w:rPr>
              <w:lastRenderedPageBreak/>
              <w:t>robustos que faciliten el seguimiento de beneficiarios y la evaluación de resultados. Se considera necesario mejorar la calidad y sistematización de la información disponible.</w:t>
            </w:r>
          </w:p>
        </w:tc>
        <w:tc>
          <w:tcPr>
            <w:tcW w:w="2303" w:type="dxa"/>
            <w:vAlign w:val="center"/>
          </w:tcPr>
          <w:p w14:paraId="1BF35B51" w14:textId="67A7F23A" w:rsidR="00D66D5C" w:rsidRPr="00D66D5C" w:rsidRDefault="00D66D5C" w:rsidP="00D66D5C">
            <w:pPr>
              <w:spacing w:after="0" w:line="240" w:lineRule="auto"/>
              <w:jc w:val="both"/>
              <w:rPr>
                <w:rFonts w:asciiTheme="minorHAnsi" w:hAnsiTheme="minorHAnsi" w:cstheme="minorHAnsi"/>
                <w:sz w:val="20"/>
                <w:szCs w:val="20"/>
              </w:rPr>
            </w:pPr>
            <w:r w:rsidRPr="00D66D5C">
              <w:rPr>
                <w:rFonts w:asciiTheme="minorHAnsi" w:hAnsiTheme="minorHAnsi" w:cstheme="minorHAnsi"/>
                <w:sz w:val="20"/>
                <w:szCs w:val="20"/>
              </w:rPr>
              <w:lastRenderedPageBreak/>
              <w:t xml:space="preserve">Fortalecer los sistemas de información del programa mediante la </w:t>
            </w:r>
            <w:r w:rsidRPr="00D66D5C">
              <w:rPr>
                <w:rFonts w:asciiTheme="minorHAnsi" w:hAnsiTheme="minorHAnsi" w:cstheme="minorHAnsi"/>
                <w:sz w:val="20"/>
                <w:szCs w:val="20"/>
              </w:rPr>
              <w:lastRenderedPageBreak/>
              <w:t>generación de bases de datos más completas de beneficiarios.</w:t>
            </w:r>
          </w:p>
        </w:tc>
      </w:tr>
    </w:tbl>
    <w:p w14:paraId="77492E1D" w14:textId="41E1779C" w:rsidR="00AA45DE" w:rsidRPr="00936D55" w:rsidRDefault="00AA45DE"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511C17">
        <w:trPr>
          <w:trHeight w:val="340"/>
        </w:trPr>
        <w:tc>
          <w:tcPr>
            <w:tcW w:w="9215" w:type="dxa"/>
            <w:shd w:val="clear" w:color="auto" w:fill="661C33"/>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767FFF3F"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de </w:t>
      </w:r>
      <w:r w:rsidR="00D66D5C" w:rsidRPr="00D66D5C">
        <w:rPr>
          <w:rFonts w:asciiTheme="minorHAnsi" w:hAnsiTheme="minorHAnsi" w:cstheme="minorHAnsi"/>
          <w:sz w:val="20"/>
          <w:szCs w:val="24"/>
        </w:rPr>
        <w:t>Desempeño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511C17">
        <w:trPr>
          <w:trHeight w:val="340"/>
        </w:trPr>
        <w:tc>
          <w:tcPr>
            <w:tcW w:w="9355" w:type="dxa"/>
            <w:shd w:val="clear" w:color="auto" w:fill="661C33"/>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548933A0"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t>El Pp contribuye al cumplimiento de sus objetivos y al fortalecimiento del subsector pecuario en el Estado de Sinaloa.</w:t>
      </w:r>
    </w:p>
    <w:p w14:paraId="2E8E721E"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t xml:space="preserve">Se muestra alta capacidad operativa y cobertura efectiva, lo cual se refleja en el indicador principal de resultados, donde la población atendida supera consistentemente las metas programadas en los programas finalmente autorizados. </w:t>
      </w:r>
    </w:p>
    <w:p w14:paraId="29BCBF71"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t>Se presenta coherencia entre el diagnóstico del problema público y los componentes del programa. Las acciones que se implementan —mejoramiento genético, apoyo ante sequía, sanidad animal y fortalecimiento de casetas zoosanitarias— están directamente alineadas con los principales factores que limitan la productividad del sector pecuario estatal.</w:t>
      </w:r>
    </w:p>
    <w:p w14:paraId="49092406"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t>Se cuenta con una MIR estructurada, con indicadores definidos, metas claras y métodos de cálculo establecidos, lo cual facilita el seguimiento y monitoreo de sus resultados. Los indicadores de gestión muestran niveles de cumplimiento cercanos a las metas programadas, lo que indica estabilidad operativa en la ejecución de los componentes.</w:t>
      </w:r>
    </w:p>
    <w:p w14:paraId="7EB7C913"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t>El programa se encuentra alineado con los objetivos estratégicos del Plan Estatal de Desarrollo 2022–2027, particularmente en lo relativo al fortalecimiento del sector agropecuario, la mejora de la productividad ganadera y la consolidación del enfoque de Presupuesto basado en Resultados.</w:t>
      </w:r>
    </w:p>
    <w:p w14:paraId="704451C3"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t>El entorno institucional y sectorial presenta diversas oportunidades que podrían fortalecer el impacto del programa en el mediano plazo.</w:t>
      </w:r>
    </w:p>
    <w:p w14:paraId="08018A2C"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t>Fortalecer la medición de resultados económicos del programa, incorporando indicadores que permitan evaluar el efecto de los apoyos en variables como productividad, ingreso de los productores o rentabilidad de las unidades de producción. Esto permitiría avanzar de una medición centrada en entrega de productos hacia una medición más robusta de resultados e impactos.</w:t>
      </w:r>
    </w:p>
    <w:p w14:paraId="3E1E75DA"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lastRenderedPageBreak/>
        <w:t>Implementación de evaluaciones de impacto o estudios especializados, que permitan identificar con mayor precisión los efectos causales del programa en el desempeño productivo del sector pecuario. Este tipo de evaluaciones contribuiría a fortalecer la evidencia sobre la efectividad de la intervención pública.</w:t>
      </w:r>
    </w:p>
    <w:p w14:paraId="319C0B0E"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t>Perfeccionar la planeación de metas del programa, utilizando información histórica de demanda y capacidad operativa para establecer metas más realistas y retadoras, especialmente en el indicador de cobertura.</w:t>
      </w:r>
    </w:p>
    <w:p w14:paraId="4A60F047"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t>Incorporación más explícita de la perspectiva de género, mediante la definición de metas e indicadores que permitan medir la participación de mujeres productoras y promover su inclusión en los apoyos productivos.</w:t>
      </w:r>
    </w:p>
    <w:p w14:paraId="75545F5C"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t>La MIR se concentra principalmente en indicadores de productos, tales como la entrega de sementales, semillas o infraestructura, sin incorporar indicadores suficientes que permitan medir cambios en variables económicas o productivas de los beneficiarios.</w:t>
      </w:r>
    </w:p>
    <w:p w14:paraId="40DB38C5"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t>Subestimación recurrente de metas en el indicador de cobertura, lo cual se evidencia en el hecho de que en varios ejercicios fiscales la población atendida ha superado ampliamente la meta programada. Esto sugiere la necesidad de fortalecer los procesos de planeación y estimación de metas.</w:t>
      </w:r>
    </w:p>
    <w:p w14:paraId="351DAA38"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t>Ausencia de evaluaciones externas de impacto, lo cual limita la capacidad para atribuir de manera causal los resultados observados en el sector pecuario a la intervención del programa.</w:t>
      </w:r>
    </w:p>
    <w:p w14:paraId="4E17F937"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t>El programa no cuenta con indicadores específicos relacionados con la participación de mujeres, lo cual limita el análisis del enfoque de género dentro de la política pública.</w:t>
      </w:r>
    </w:p>
    <w:p w14:paraId="5D4BECF1"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t>Vulnerabilidad del sector pecuario ante fenómenos climáticos, particularmente los periodos recurrentes de sequía que afectan la disponibilidad de forraje y el rendimiento productivo del ganado.</w:t>
      </w:r>
    </w:p>
    <w:p w14:paraId="44CDD1A9"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t>El subsector pecuario enfrenta riesgos sanitarios permanentes, como la presencia de enfermedades de importancia económica (tuberculosis y brucelosis), lo cual puede afectar la productividad, la movilidad del ganado y el acceso a mercados.</w:t>
      </w:r>
    </w:p>
    <w:p w14:paraId="26F120C1"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t>Variabilidad presupuestal del gasto público, ya que los recursos asignados a los programas de fomento productivo pueden verse afectados por restricciones fiscales o cambios en las prioridades de política pública.</w:t>
      </w:r>
    </w:p>
    <w:p w14:paraId="0B825639" w14:textId="77777777" w:rsidR="00D66D5C" w:rsidRPr="00D66D5C" w:rsidRDefault="00D66D5C" w:rsidP="00D66D5C">
      <w:pPr>
        <w:pStyle w:val="Prrafodelista"/>
        <w:numPr>
          <w:ilvl w:val="0"/>
          <w:numId w:val="3"/>
        </w:numPr>
        <w:spacing w:line="276" w:lineRule="auto"/>
        <w:ind w:right="1"/>
        <w:jc w:val="both"/>
        <w:rPr>
          <w:rFonts w:asciiTheme="minorHAnsi" w:hAnsiTheme="minorHAnsi" w:cstheme="minorHAnsi"/>
          <w:sz w:val="20"/>
          <w:szCs w:val="20"/>
        </w:rPr>
      </w:pPr>
      <w:r w:rsidRPr="00D66D5C">
        <w:rPr>
          <w:rFonts w:asciiTheme="minorHAnsi" w:hAnsiTheme="minorHAnsi" w:cstheme="minorHAnsi"/>
          <w:sz w:val="20"/>
          <w:szCs w:val="20"/>
        </w:rPr>
        <w:t>Limitaciones estructurales, como acceso limitado a financiamiento, baja adopción tecnológica y dificultades para integrarse a cadenas de valor, lo cual puede reducir el impacto potencial de los apoyos otorgados.</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58842063"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D66D5C">
        <w:rPr>
          <w:rFonts w:asciiTheme="minorHAnsi" w:hAnsiTheme="minorHAnsi" w:cstheme="minorHAnsi"/>
          <w:bCs/>
          <w:sz w:val="20"/>
          <w:szCs w:val="20"/>
          <w:lang w:val="es-ES"/>
        </w:rPr>
        <w:t>5</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11A4" w14:textId="77777777" w:rsidR="00A221F1" w:rsidRDefault="00A221F1" w:rsidP="008E5209">
      <w:pPr>
        <w:spacing w:after="0" w:line="240" w:lineRule="auto"/>
      </w:pPr>
      <w:r>
        <w:separator/>
      </w:r>
    </w:p>
  </w:endnote>
  <w:endnote w:type="continuationSeparator" w:id="0">
    <w:p w14:paraId="2574DE31" w14:textId="77777777" w:rsidR="00A221F1" w:rsidRDefault="00A221F1"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ourier New"/>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EndPr/>
    <w:sdtContent>
      <w:p w14:paraId="1A126E55" w14:textId="5C4713EA"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7846B1">
          <w:rPr>
            <w:b/>
            <w:noProof/>
          </w:rPr>
          <w:t>3</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EndPr/>
    <w:sdtContent>
      <w:p w14:paraId="7B9C6154" w14:textId="21895E0D"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7846B1" w:rsidRPr="007846B1">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F7C11" w14:textId="77777777" w:rsidR="00A221F1" w:rsidRDefault="00A221F1" w:rsidP="008E5209">
      <w:pPr>
        <w:spacing w:after="0" w:line="240" w:lineRule="auto"/>
      </w:pPr>
      <w:r>
        <w:separator/>
      </w:r>
    </w:p>
  </w:footnote>
  <w:footnote w:type="continuationSeparator" w:id="0">
    <w:p w14:paraId="59876D7E" w14:textId="77777777" w:rsidR="00A221F1" w:rsidRDefault="00A221F1"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213BFA" w:rsidRPr="00B53A27" w:rsidRDefault="00B53A27" w:rsidP="00B53A27">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651D32"/>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86126F" w:rsidRPr="00511C17" w:rsidRDefault="00B53A27" w:rsidP="00B53A27">
    <w:pPr>
      <w:ind w:left="3828"/>
      <w:jc w:val="right"/>
      <w:rPr>
        <w:rFonts w:ascii="Medium" w:hAnsi="Medium" w:cs="Arial"/>
        <w:b/>
        <w:color w:val="661C33"/>
        <w:sz w:val="26"/>
        <w:szCs w:val="26"/>
      </w:rPr>
    </w:pPr>
    <w:r w:rsidRPr="00511C17">
      <w:rPr>
        <w:rFonts w:ascii="Medium" w:hAnsi="Medium" w:cs="Arial"/>
        <w:b/>
        <w:noProof/>
        <w:color w:val="661C33"/>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511C17">
      <w:rPr>
        <w:rFonts w:ascii="Medium" w:hAnsi="Medium" w:cs="Arial"/>
        <w:b/>
        <w:color w:val="661C33"/>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8425783">
    <w:abstractNumId w:val="0"/>
  </w:num>
  <w:num w:numId="2" w16cid:durableId="1655377869">
    <w:abstractNumId w:val="1"/>
  </w:num>
  <w:num w:numId="3" w16cid:durableId="2074963920">
    <w:abstractNumId w:val="3"/>
  </w:num>
  <w:num w:numId="4" w16cid:durableId="1981955824">
    <w:abstractNumId w:val="2"/>
  </w:num>
  <w:num w:numId="5" w16cid:durableId="179721341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1B60"/>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2AC4"/>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11C17"/>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206E"/>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6B1"/>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961CD"/>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4C74"/>
    <w:rsid w:val="00A06B19"/>
    <w:rsid w:val="00A06C49"/>
    <w:rsid w:val="00A12B2E"/>
    <w:rsid w:val="00A16C5A"/>
    <w:rsid w:val="00A221F1"/>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47820"/>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3B3"/>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E762A"/>
    <w:rsid w:val="00CF511B"/>
    <w:rsid w:val="00CF57AE"/>
    <w:rsid w:val="00D02A3D"/>
    <w:rsid w:val="00D05CDC"/>
    <w:rsid w:val="00D10D79"/>
    <w:rsid w:val="00D1436F"/>
    <w:rsid w:val="00D15AF3"/>
    <w:rsid w:val="00D16047"/>
    <w:rsid w:val="00D2217D"/>
    <w:rsid w:val="00D24595"/>
    <w:rsid w:val="00D25EA5"/>
    <w:rsid w:val="00D31847"/>
    <w:rsid w:val="00D31A79"/>
    <w:rsid w:val="00D33ED2"/>
    <w:rsid w:val="00D472C0"/>
    <w:rsid w:val="00D54A9B"/>
    <w:rsid w:val="00D557F6"/>
    <w:rsid w:val="00D617BA"/>
    <w:rsid w:val="00D625D5"/>
    <w:rsid w:val="00D63AE8"/>
    <w:rsid w:val="00D66D5C"/>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74774"/>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675C4"/>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D6256-63F0-4E5E-AFE4-39BFCEAA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1165</Words>
  <Characters>6412</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5</cp:revision>
  <cp:lastPrinted>2021-10-18T17:24:00Z</cp:lastPrinted>
  <dcterms:created xsi:type="dcterms:W3CDTF">2026-05-04T16:02:00Z</dcterms:created>
  <dcterms:modified xsi:type="dcterms:W3CDTF">2026-05-06T19:39:00Z</dcterms:modified>
</cp:coreProperties>
</file>